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33" w:lineRule="exact"/>
        <w:jc w:val="center"/>
        <w:rPr>
          <w:rFonts w:cs="仿宋_GB2312" w:asciiTheme="majorEastAsia" w:hAnsiTheme="majorEastAsia" w:eastAsiaTheme="majorEastAsia"/>
          <w:b/>
          <w:lang w:eastAsia="zh-CN"/>
        </w:rPr>
      </w:pPr>
      <w:bookmarkStart w:id="0" w:name="_Toc17998"/>
      <w:bookmarkStart w:id="1" w:name="_Toc4695"/>
      <w:r>
        <w:rPr>
          <w:rFonts w:cs="仿宋_GB2312" w:asciiTheme="majorEastAsia" w:hAnsiTheme="majorEastAsia" w:eastAsiaTheme="majorEastAsia"/>
          <w:b/>
          <w:lang w:eastAsia="zh-CN"/>
        </w:rPr>
        <w:t>202</w:t>
      </w:r>
      <w:r>
        <w:rPr>
          <w:rFonts w:hint="eastAsia" w:cs="仿宋_GB2312" w:asciiTheme="majorEastAsia" w:hAnsiTheme="majorEastAsia" w:eastAsiaTheme="majorEastAsia"/>
          <w:b/>
          <w:lang w:val="en-US" w:eastAsia="zh-CN"/>
        </w:rPr>
        <w:t>2</w:t>
      </w:r>
      <w:r>
        <w:rPr>
          <w:rFonts w:cs="仿宋_GB2312" w:asciiTheme="majorEastAsia" w:hAnsiTheme="majorEastAsia" w:eastAsiaTheme="majorEastAsia"/>
          <w:b/>
          <w:lang w:eastAsia="zh-CN"/>
        </w:rPr>
        <w:t>-202</w:t>
      </w:r>
      <w:r>
        <w:rPr>
          <w:rFonts w:hint="eastAsia" w:cs="仿宋_GB2312" w:asciiTheme="majorEastAsia" w:hAnsiTheme="majorEastAsia" w:eastAsiaTheme="majorEastAsia"/>
          <w:b/>
          <w:lang w:val="en-US" w:eastAsia="zh-CN"/>
        </w:rPr>
        <w:t>3</w:t>
      </w:r>
      <w:r>
        <w:rPr>
          <w:rFonts w:hint="eastAsia" w:cs="仿宋_GB2312" w:asciiTheme="majorEastAsia" w:hAnsiTheme="majorEastAsia" w:eastAsiaTheme="majorEastAsia"/>
          <w:b/>
          <w:lang w:eastAsia="zh-CN"/>
        </w:rPr>
        <w:t>学</w:t>
      </w:r>
      <w:r>
        <w:rPr>
          <w:rFonts w:cs="仿宋_GB2312" w:asciiTheme="majorEastAsia" w:hAnsiTheme="majorEastAsia" w:eastAsiaTheme="majorEastAsia"/>
          <w:b/>
          <w:lang w:eastAsia="zh-CN"/>
        </w:rPr>
        <w:t>年</w:t>
      </w:r>
      <w:r>
        <w:rPr>
          <w:rFonts w:hint="eastAsia" w:cs="仿宋_GB2312" w:asciiTheme="majorEastAsia" w:hAnsiTheme="majorEastAsia" w:eastAsiaTheme="majorEastAsia"/>
          <w:b/>
          <w:lang w:eastAsia="zh-CN"/>
        </w:rPr>
        <w:t>本科生</w:t>
      </w:r>
      <w:r>
        <w:rPr>
          <w:rFonts w:cs="仿宋_GB2312" w:asciiTheme="majorEastAsia" w:hAnsiTheme="majorEastAsia" w:eastAsiaTheme="majorEastAsia"/>
          <w:b/>
          <w:lang w:eastAsia="zh-CN"/>
        </w:rPr>
        <w:t>国家奖学金名额</w:t>
      </w:r>
    </w:p>
    <w:p>
      <w:pPr>
        <w:pStyle w:val="2"/>
        <w:spacing w:line="533" w:lineRule="exact"/>
        <w:jc w:val="center"/>
        <w:rPr>
          <w:rFonts w:cs="仿宋_GB2312" w:asciiTheme="majorEastAsia" w:hAnsiTheme="majorEastAsia" w:eastAsiaTheme="majorEastAsia"/>
          <w:b/>
          <w:lang w:eastAsia="zh-CN"/>
        </w:rPr>
      </w:pPr>
      <w:r>
        <w:rPr>
          <w:rFonts w:hint="eastAsia" w:cs="仿宋_GB2312" w:asciiTheme="majorEastAsia" w:hAnsiTheme="majorEastAsia" w:eastAsiaTheme="majorEastAsia"/>
          <w:b/>
          <w:lang w:eastAsia="zh-CN"/>
        </w:rPr>
        <w:t>分配</w:t>
      </w:r>
      <w:r>
        <w:rPr>
          <w:rFonts w:cs="仿宋_GB2312" w:asciiTheme="majorEastAsia" w:hAnsiTheme="majorEastAsia" w:eastAsiaTheme="majorEastAsia"/>
          <w:b/>
          <w:lang w:eastAsia="zh-CN"/>
        </w:rPr>
        <w:t>表</w:t>
      </w:r>
      <w:bookmarkEnd w:id="0"/>
    </w:p>
    <w:p>
      <w:pPr>
        <w:rPr>
          <w:lang w:eastAsia="zh-CN"/>
        </w:rPr>
      </w:pPr>
    </w:p>
    <w:p>
      <w:pPr>
        <w:tabs>
          <w:tab w:val="left" w:pos="8400"/>
        </w:tabs>
        <w:rPr>
          <w:rFonts w:cs="仿宋_GB2312" w:asciiTheme="minorEastAsia" w:hAnsiTheme="minorEastAsia" w:eastAsiaTheme="minorEastAsia"/>
          <w:sz w:val="32"/>
          <w:szCs w:val="32"/>
          <w:lang w:eastAsia="zh-CN"/>
        </w:rPr>
      </w:pPr>
    </w:p>
    <w:p>
      <w:pPr>
        <w:tabs>
          <w:tab w:val="left" w:pos="8400"/>
        </w:tabs>
        <w:jc w:val="right"/>
        <w:rPr>
          <w:rFonts w:cs="仿宋_GB2312" w:asciiTheme="minorEastAsia" w:hAnsiTheme="minorEastAsia" w:eastAsiaTheme="minorEastAsia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 xml:space="preserve">                              </w:t>
      </w:r>
      <w:r>
        <w:rPr>
          <w:rFonts w:cs="仿宋_GB2312" w:asciiTheme="minorEastAsia" w:hAnsiTheme="minorEastAsia" w:eastAsiaTheme="minorEastAsia"/>
          <w:sz w:val="32"/>
          <w:szCs w:val="32"/>
          <w:lang w:eastAsia="zh-CN"/>
        </w:rPr>
        <w:t xml:space="preserve">  </w:t>
      </w:r>
      <w:r>
        <w:rPr>
          <w:rFonts w:cs="仿宋_GB2312" w:asciiTheme="minorEastAsia" w:hAnsiTheme="minorEastAsia" w:eastAsiaTheme="minorEastAsia"/>
          <w:sz w:val="28"/>
          <w:szCs w:val="28"/>
          <w:lang w:eastAsia="zh-CN"/>
        </w:rPr>
        <w:t>单位：人</w:t>
      </w:r>
    </w:p>
    <w:p>
      <w:pPr>
        <w:spacing w:before="1" w:line="17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</w:pPr>
      <w:bookmarkStart w:id="2" w:name="_GoBack"/>
      <w:bookmarkEnd w:id="2"/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631"/>
        <w:gridCol w:w="719"/>
        <w:gridCol w:w="901"/>
        <w:gridCol w:w="904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1543" w:type="pct"/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  <w:lang w:eastAsia="zh-CN"/>
              </w:rPr>
              <w:t>20</w:t>
            </w: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  <w:lang w:eastAsia="zh-CN"/>
              </w:rPr>
              <w:t>-202</w:t>
            </w: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  <w:lang w:eastAsia="zh-CN"/>
              </w:rPr>
              <w:t>级本科生人数</w:t>
            </w:r>
          </w:p>
        </w:tc>
        <w:tc>
          <w:tcPr>
            <w:tcW w:w="42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应分配名额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上年结余名额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本年结余名额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本次分配名额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土木工程学院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1937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3.33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0.27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-0.40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ind w:firstLine="240" w:firstLineChars="100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建筑与规划学院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763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1.31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0.09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0.4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环境与能源工程学院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1277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-0.38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-0.18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ind w:firstLine="240" w:firstLineChars="100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经济与管理学院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1929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3.3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-0.17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0.15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电子与信息工程学院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1936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3.3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-0.07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0.26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材料与化学工程学院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997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71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0.25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-0.04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数理学院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603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1.04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-0.37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-0.33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外国语学院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277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-0.41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0.07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艺术学院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734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1.2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-0.05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0.21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机械与电气工程学院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1561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69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0.16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-0.15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公共管理学院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950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0.61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0.24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ind w:left="535" w:hanging="535" w:hangingChars="223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eastAsia="zh-CN"/>
              </w:rPr>
              <w:t>安职校区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0.70</w:t>
            </w:r>
          </w:p>
        </w:tc>
        <w:tc>
          <w:tcPr>
            <w:tcW w:w="5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-0.23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45" w:type="pct"/>
            <w:vAlign w:val="center"/>
          </w:tcPr>
          <w:p>
            <w:pPr>
              <w:pStyle w:val="6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26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13371</w:t>
            </w:r>
          </w:p>
        </w:tc>
        <w:tc>
          <w:tcPr>
            <w:tcW w:w="421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23.00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30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23</w:t>
            </w:r>
          </w:p>
        </w:tc>
      </w:tr>
    </w:tbl>
    <w:p>
      <w:pPr>
        <w:widowControl/>
        <w:textAlignment w:val="center"/>
        <w:rPr>
          <w:rFonts w:ascii="宋体" w:hAnsi="宋体" w:eastAsia="宋体" w:cs="宋体"/>
          <w:color w:val="000000"/>
          <w:szCs w:val="20"/>
          <w:lang w:eastAsia="zh-CN"/>
        </w:rPr>
      </w:pPr>
    </w:p>
    <w:bookmarkEnd w:id="1"/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6370" cy="139700"/>
              <wp:effectExtent l="0" t="0" r="0" b="0"/>
              <wp:wrapNone/>
              <wp:docPr id="15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3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pt;width:13.1pt;mso-position-horizontal:center;mso-position-horizontal-relative:margin;z-index:251659264;mso-width-relative:page;mso-height-relative:page;" filled="f" stroked="f" coordsize="21600,21600" o:gfxdata="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CfSswbSAAAAAwEAAA8AAAAAAAAAAQAgAAAAIgAAAGRycy9kb3ducmV2LnhtbFBLAQIUABQAAAAI&#10;AIdO4kAhlEKwugEAAHIDAAAOAAAAAAAAAAEAIAAAACE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 w:hAnsi="Calibri" w:eastAsia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3ZGI5M2ZiM2I0YjBmMGUxYzAzODg1NDIyMjAxNGUifQ=="/>
  </w:docVars>
  <w:rsids>
    <w:rsidRoot w:val="00000000"/>
    <w:rsid w:val="0DB56B26"/>
    <w:rsid w:val="13310B00"/>
    <w:rsid w:val="18A76EFB"/>
    <w:rsid w:val="198C4BE9"/>
    <w:rsid w:val="1F290C11"/>
    <w:rsid w:val="26202A2D"/>
    <w:rsid w:val="29BD7D3C"/>
    <w:rsid w:val="5B0C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宋体" w:hAnsi="宋体" w:eastAsia="宋体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2023-09-11T01:54:00Z</dcterms:created>
  <dc:creator>DELL</dc:creator>
  <cp:lastModifiedBy>WPS_534816300</cp:lastModifiedBy>
  <cp:lastPrinted>2023-09-11T09:55:32Z</cp:lastPrinted>
  <dcterms:modified xsi:type="dcterms:W3CDTF">2023-09-11T10:02:42Z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38E0840D932F4700B9F62A9A36775AE2_13</vt:lpwstr>
  </property>
</Properties>
</file>